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A7D36" w:rsidRDefault="00CA7D36" w:rsidP="00CA7D36">
      <w:pPr>
        <w:spacing w:after="0" w:line="240" w:lineRule="auto"/>
        <w:jc w:val="both"/>
        <w:rPr>
          <w:rFonts w:ascii="Times New Roman" w:eastAsia="Times New Roman" w:hAnsi="Times New Roman"/>
          <w:b/>
          <w:color w:val="000000"/>
        </w:rPr>
      </w:pPr>
      <w:r>
        <w:rPr>
          <w:rFonts w:ascii="Times New Roman" w:eastAsia="Times New Roman" w:hAnsi="Times New Roman"/>
          <w:b/>
          <w:color w:val="000000"/>
        </w:rPr>
        <w:t xml:space="preserve">Appendix 12:  Project Governance and Institutional arrangement </w:t>
      </w:r>
    </w:p>
    <w:p w:rsidR="00CA7D36" w:rsidRPr="00992073" w:rsidRDefault="00CA7D36" w:rsidP="00CA7D36">
      <w:pPr>
        <w:pStyle w:val="Heading2"/>
        <w:keepLines/>
        <w:numPr>
          <w:ilvl w:val="1"/>
          <w:numId w:val="2"/>
        </w:numPr>
        <w:spacing w:before="240" w:after="120"/>
        <w:jc w:val="both"/>
        <w:rPr>
          <w:b/>
          <w:sz w:val="22"/>
          <w:szCs w:val="22"/>
          <w:lang w:val="en-GB"/>
        </w:rPr>
      </w:pPr>
      <w:r w:rsidRPr="00992073">
        <w:rPr>
          <w:b/>
          <w:sz w:val="22"/>
          <w:szCs w:val="22"/>
          <w:lang w:val="en-GB"/>
        </w:rPr>
        <w:t>Project Governance</w:t>
      </w:r>
    </w:p>
    <w:p w:rsidR="00CA7D36" w:rsidRPr="00992073" w:rsidRDefault="00CA7D36" w:rsidP="00CA7D36">
      <w:pPr>
        <w:pStyle w:val="NumberedParagraph"/>
        <w:numPr>
          <w:ilvl w:val="2"/>
          <w:numId w:val="2"/>
        </w:numPr>
        <w:spacing w:after="120"/>
        <w:rPr>
          <w:sz w:val="22"/>
          <w:lang w:val="en-GB"/>
        </w:rPr>
      </w:pPr>
      <w:r w:rsidRPr="00992073">
        <w:rPr>
          <w:i/>
          <w:sz w:val="22"/>
          <w:lang w:val="en-GB"/>
        </w:rPr>
        <w:t>Project Management Unit (PMU).</w:t>
      </w:r>
      <w:r w:rsidRPr="00992073">
        <w:rPr>
          <w:sz w:val="22"/>
          <w:lang w:val="en-GB"/>
        </w:rPr>
        <w:t xml:space="preserve"> The Project Management Unit (PMU) will coordinate the daily execution of the project’s activities. The PMU will be housed in the DoE office, Dhaka and will comprise National Project Director (NPD), national and international experts,, technical consultants and administrative staff appointed to execute the tasks covering the component 1, 2 and 3. The PMU will be managed by National Project Director (NPD) designated by the Government of Bangladesh (GoB) who will be responsible for the management of   project’s daily operations in consultation with the FAO experts.  It is anticipated that one of the senior officials of DoE dealing with </w:t>
      </w:r>
      <w:r w:rsidRPr="00992073">
        <w:rPr>
          <w:bCs/>
          <w:color w:val="000000"/>
          <w:sz w:val="22"/>
        </w:rPr>
        <w:t xml:space="preserve">Climate Change &amp; International Conventions will be designated as NPD. </w:t>
      </w:r>
      <w:r w:rsidRPr="00992073">
        <w:rPr>
          <w:sz w:val="22"/>
        </w:rPr>
        <w:t>All consultants, and the project staffs will report back to NPD.</w:t>
      </w:r>
    </w:p>
    <w:p w:rsidR="00CA7D36" w:rsidRPr="00992073" w:rsidRDefault="00CA7D36" w:rsidP="00CA7D36">
      <w:pPr>
        <w:pStyle w:val="NumberedParagraph"/>
        <w:numPr>
          <w:ilvl w:val="2"/>
          <w:numId w:val="2"/>
        </w:numPr>
        <w:spacing w:after="120"/>
        <w:rPr>
          <w:sz w:val="22"/>
          <w:lang w:val="en-GB"/>
        </w:rPr>
      </w:pPr>
      <w:r w:rsidRPr="00992073">
        <w:rPr>
          <w:sz w:val="22"/>
          <w:lang w:val="en-GB"/>
        </w:rPr>
        <w:t>The PMU will arrange execution of the project through various forms of agreements (e.g., MoUs, LoAs, data sharing contracts, procurement, and coordinated activities) with appropriate stakeholders. The PMU will endeavour, as appropriate and practical, to execute the project’s activities through the stakeholders who will be expected to continue those activities after the project has ended. The PMU will work to develop the capacity of the stakeholders to deliver the required activities of component 1, 2 and 3.  The aim is to ensure that, by the end of the project, all the stakeholders are fully capacitated to conduct its post-project responsibilities. Ideally, DoE and all the identified and trained stakeholders will take over those responsibilities prior to the end of the project.</w:t>
      </w:r>
    </w:p>
    <w:p w:rsidR="00CA7D36" w:rsidRPr="00992073" w:rsidRDefault="00CA7D36" w:rsidP="00CA7D36">
      <w:pPr>
        <w:pStyle w:val="NumberedParagraph"/>
        <w:numPr>
          <w:ilvl w:val="2"/>
          <w:numId w:val="2"/>
        </w:numPr>
        <w:spacing w:after="120"/>
        <w:rPr>
          <w:sz w:val="22"/>
          <w:lang w:val="en-GB"/>
        </w:rPr>
      </w:pPr>
      <w:r w:rsidRPr="00992073">
        <w:rPr>
          <w:sz w:val="22"/>
          <w:lang w:val="en-GB"/>
        </w:rPr>
        <w:t xml:space="preserve">The stakeholders along with their roles and responsibilities for the component 1, 2 and 3 will be identified by PMU in consultation with the national and international consultants and approved by the PSC. The project will primarily target Government agencies under different ministries covering AFOLU, Waste, Energy, Industrial processes, and public institutions (e.g., public universities, public research institutions).   It is expected to receive foreign support for adaptation. Particularly in cases where the mandates of Governmental agencies or public institutions clearly delineate a relevant area of responsibility for the project’s activities for the component 1, 2 and 3, the PMU may propose to involve stakeholders through LoA, MoU, data sharing contract, etc. </w:t>
      </w:r>
    </w:p>
    <w:p w:rsidR="00CA7D36" w:rsidRPr="00992073" w:rsidRDefault="00CA7D36" w:rsidP="00CA7D36">
      <w:pPr>
        <w:pStyle w:val="NumberedParagraph"/>
        <w:numPr>
          <w:ilvl w:val="2"/>
          <w:numId w:val="2"/>
        </w:numPr>
        <w:spacing w:after="120"/>
        <w:rPr>
          <w:sz w:val="22"/>
          <w:lang w:val="en-GB"/>
        </w:rPr>
      </w:pPr>
      <w:r w:rsidRPr="00992073">
        <w:rPr>
          <w:sz w:val="22"/>
          <w:lang w:val="en-GB"/>
        </w:rPr>
        <w:t xml:space="preserve">For activities that do not have a clearly defined stakeholders like procurement of IT equipment, the PMU will follow a process of competitive bidding, whereby the primary selection factor is value for money both during and after the project. </w:t>
      </w:r>
    </w:p>
    <w:p w:rsidR="00CA7D36" w:rsidRPr="00992073" w:rsidRDefault="00CA7D36" w:rsidP="00CA7D36">
      <w:pPr>
        <w:pStyle w:val="NumberedParagraph"/>
        <w:numPr>
          <w:ilvl w:val="2"/>
          <w:numId w:val="2"/>
        </w:numPr>
        <w:spacing w:after="120"/>
        <w:rPr>
          <w:sz w:val="22"/>
          <w:lang w:val="en-GB"/>
        </w:rPr>
      </w:pPr>
      <w:r w:rsidRPr="00992073">
        <w:rPr>
          <w:sz w:val="22"/>
          <w:lang w:val="en-GB"/>
        </w:rPr>
        <w:t xml:space="preserve">The PMU will be technically assisted by FAO Lead Technical Officer (LTO) and operationally by Budget Holder (BH).  The PMU will also be technically supported by the Technical Working Group (TWG). </w:t>
      </w:r>
    </w:p>
    <w:p w:rsidR="00CA7D36" w:rsidRPr="00992073" w:rsidRDefault="00CA7D36" w:rsidP="00CA7D36">
      <w:pPr>
        <w:pStyle w:val="NumberedParagraph"/>
        <w:numPr>
          <w:ilvl w:val="2"/>
          <w:numId w:val="2"/>
        </w:numPr>
        <w:spacing w:after="120"/>
        <w:rPr>
          <w:sz w:val="22"/>
          <w:lang w:val="en-GB"/>
        </w:rPr>
      </w:pPr>
      <w:r w:rsidRPr="00992073">
        <w:rPr>
          <w:sz w:val="22"/>
          <w:lang w:val="en-GB"/>
        </w:rPr>
        <w:t xml:space="preserve">Overall, the PMU will be responsible for the following activities: </w:t>
      </w:r>
    </w:p>
    <w:p w:rsidR="00CA7D36" w:rsidRPr="00992073" w:rsidRDefault="00CA7D36" w:rsidP="00CA7D36">
      <w:pPr>
        <w:pStyle w:val="NumberedParagraph"/>
        <w:numPr>
          <w:ilvl w:val="0"/>
          <w:numId w:val="6"/>
        </w:numPr>
        <w:spacing w:after="120"/>
        <w:rPr>
          <w:sz w:val="22"/>
          <w:lang w:val="en-GB"/>
        </w:rPr>
      </w:pPr>
      <w:r w:rsidRPr="00992073">
        <w:rPr>
          <w:sz w:val="22"/>
          <w:lang w:val="en-GB"/>
        </w:rPr>
        <w:t>Financial record keeping.</w:t>
      </w:r>
    </w:p>
    <w:p w:rsidR="00CA7D36" w:rsidRPr="00992073" w:rsidRDefault="00CA7D36" w:rsidP="00CA7D36">
      <w:pPr>
        <w:pStyle w:val="NumberedParagraph"/>
        <w:numPr>
          <w:ilvl w:val="0"/>
          <w:numId w:val="6"/>
        </w:numPr>
        <w:spacing w:after="120"/>
        <w:rPr>
          <w:sz w:val="22"/>
          <w:lang w:val="en-GB"/>
        </w:rPr>
      </w:pPr>
      <w:r w:rsidRPr="00992073">
        <w:rPr>
          <w:sz w:val="22"/>
          <w:lang w:val="en-GB"/>
        </w:rPr>
        <w:t>Reporting and disbursements (financial).</w:t>
      </w:r>
    </w:p>
    <w:p w:rsidR="00CA7D36" w:rsidRPr="00992073" w:rsidRDefault="00CA7D36" w:rsidP="00CA7D36">
      <w:pPr>
        <w:pStyle w:val="NumberedParagraph"/>
        <w:numPr>
          <w:ilvl w:val="0"/>
          <w:numId w:val="6"/>
        </w:numPr>
        <w:spacing w:after="120"/>
        <w:rPr>
          <w:sz w:val="22"/>
          <w:lang w:val="en-GB"/>
        </w:rPr>
      </w:pPr>
      <w:r w:rsidRPr="00992073">
        <w:rPr>
          <w:sz w:val="22"/>
          <w:lang w:val="en-GB"/>
        </w:rPr>
        <w:t xml:space="preserve">Project monitoring and reporting (technical). </w:t>
      </w:r>
    </w:p>
    <w:p w:rsidR="00CA7D36" w:rsidRPr="00992073" w:rsidRDefault="00CA7D36" w:rsidP="00CA7D36">
      <w:pPr>
        <w:pStyle w:val="NumberedParagraph"/>
        <w:numPr>
          <w:ilvl w:val="0"/>
          <w:numId w:val="6"/>
        </w:numPr>
        <w:spacing w:after="120"/>
        <w:rPr>
          <w:sz w:val="22"/>
          <w:lang w:val="en-GB"/>
        </w:rPr>
      </w:pPr>
      <w:r w:rsidRPr="00992073">
        <w:rPr>
          <w:sz w:val="22"/>
          <w:lang w:val="en-GB"/>
        </w:rPr>
        <w:t xml:space="preserve">Submission of all technical and financial reports to the MoEFCC, DoE, GEF agency (FAO) and PSC. </w:t>
      </w:r>
    </w:p>
    <w:p w:rsidR="00CA7D36" w:rsidRPr="00992073" w:rsidRDefault="00CA7D36" w:rsidP="00CA7D36">
      <w:pPr>
        <w:pStyle w:val="NumberedParagraph"/>
        <w:numPr>
          <w:ilvl w:val="0"/>
          <w:numId w:val="6"/>
        </w:numPr>
        <w:spacing w:after="120"/>
        <w:rPr>
          <w:sz w:val="22"/>
          <w:lang w:val="en-GB"/>
        </w:rPr>
      </w:pPr>
      <w:r w:rsidRPr="00992073">
        <w:rPr>
          <w:sz w:val="22"/>
          <w:lang w:val="en-GB"/>
        </w:rPr>
        <w:t xml:space="preserve">Contractual obligations. </w:t>
      </w:r>
    </w:p>
    <w:p w:rsidR="00CA7D36" w:rsidRPr="00992073" w:rsidRDefault="00CA7D36" w:rsidP="00CA7D36">
      <w:pPr>
        <w:pStyle w:val="NumberedParagraph"/>
        <w:numPr>
          <w:ilvl w:val="0"/>
          <w:numId w:val="6"/>
        </w:numPr>
        <w:spacing w:after="120"/>
        <w:rPr>
          <w:sz w:val="22"/>
          <w:lang w:val="en-GB"/>
        </w:rPr>
      </w:pPr>
      <w:r w:rsidRPr="00992073">
        <w:rPr>
          <w:sz w:val="22"/>
          <w:lang w:val="en-GB"/>
        </w:rPr>
        <w:t xml:space="preserve">Act as the secretariat for the PSC, TWG and PIC. </w:t>
      </w:r>
    </w:p>
    <w:p w:rsidR="00CA7D36" w:rsidRPr="00992073" w:rsidRDefault="00CA7D36" w:rsidP="00CA7D36">
      <w:pPr>
        <w:pStyle w:val="NumberedParagraph"/>
        <w:numPr>
          <w:ilvl w:val="0"/>
          <w:numId w:val="6"/>
        </w:numPr>
        <w:spacing w:after="120"/>
        <w:rPr>
          <w:sz w:val="22"/>
          <w:lang w:val="en-GB"/>
        </w:rPr>
      </w:pPr>
      <w:r w:rsidRPr="00992073">
        <w:rPr>
          <w:sz w:val="22"/>
          <w:lang w:val="en-GB"/>
        </w:rPr>
        <w:t>Represent the project to the GEF agency, GoB, and other partners as required.</w:t>
      </w:r>
    </w:p>
    <w:p w:rsidR="00CA7D36" w:rsidRPr="00992073" w:rsidRDefault="00CA7D36" w:rsidP="00CA7D36">
      <w:pPr>
        <w:pStyle w:val="NumberedParagraph"/>
        <w:numPr>
          <w:ilvl w:val="0"/>
          <w:numId w:val="6"/>
        </w:numPr>
        <w:spacing w:after="120"/>
        <w:rPr>
          <w:sz w:val="22"/>
          <w:lang w:val="en-GB"/>
        </w:rPr>
      </w:pPr>
      <w:r w:rsidRPr="00992073">
        <w:rPr>
          <w:sz w:val="22"/>
          <w:lang w:val="en-GB"/>
        </w:rPr>
        <w:lastRenderedPageBreak/>
        <w:t>Ensure the smooth running of the project through monitoring and communication with the, MoEFCC, DoE, PSC, PIC, TWG, working and consultative groups, contractors, consultants, stakeholders and other engaged agencies, institutions, and individuals.</w:t>
      </w:r>
    </w:p>
    <w:p w:rsidR="00CA7D36" w:rsidRPr="00992073" w:rsidRDefault="00CA7D36" w:rsidP="00CA7D36">
      <w:pPr>
        <w:pStyle w:val="NumberedParagraph"/>
        <w:numPr>
          <w:ilvl w:val="0"/>
          <w:numId w:val="6"/>
        </w:numPr>
        <w:spacing w:after="120"/>
        <w:rPr>
          <w:sz w:val="22"/>
          <w:lang w:val="en-GB"/>
        </w:rPr>
      </w:pPr>
      <w:r w:rsidRPr="00992073">
        <w:rPr>
          <w:sz w:val="22"/>
          <w:lang w:val="en-GB"/>
        </w:rPr>
        <w:t>Actively coordinate the flow of inputs, procurement, outputs, and work streams to ensure the project runs smoothly and delivers the specified outputs and overall objectives</w:t>
      </w:r>
    </w:p>
    <w:p w:rsidR="00CA7D36" w:rsidRPr="00992073" w:rsidRDefault="00CA7D36" w:rsidP="00CA7D36">
      <w:pPr>
        <w:pStyle w:val="NumberedParagraph"/>
        <w:numPr>
          <w:ilvl w:val="0"/>
          <w:numId w:val="6"/>
        </w:numPr>
        <w:spacing w:after="120"/>
        <w:rPr>
          <w:sz w:val="22"/>
          <w:lang w:val="en-GB"/>
        </w:rPr>
      </w:pPr>
      <w:r w:rsidRPr="00992073">
        <w:rPr>
          <w:sz w:val="22"/>
          <w:lang w:val="en-GB"/>
        </w:rPr>
        <w:t xml:space="preserve">Implement the communications strategy for project, including identifying appropriate opportunities to communicate and demonstrate the progress and achievements of the programme and responding to concerns, and questions that may arise the project implementation. </w:t>
      </w:r>
    </w:p>
    <w:p w:rsidR="00CA7D36" w:rsidRPr="00992073" w:rsidRDefault="00CA7D36" w:rsidP="00CA7D36">
      <w:pPr>
        <w:pStyle w:val="NumberedParagraph"/>
        <w:numPr>
          <w:ilvl w:val="2"/>
          <w:numId w:val="2"/>
        </w:numPr>
        <w:spacing w:after="80"/>
        <w:rPr>
          <w:color w:val="000000"/>
          <w:sz w:val="22"/>
        </w:rPr>
      </w:pPr>
      <w:r w:rsidRPr="00992073">
        <w:rPr>
          <w:i/>
          <w:sz w:val="22"/>
        </w:rPr>
        <w:t>Project Implementation Committee (PIC):</w:t>
      </w:r>
      <w:r w:rsidRPr="00992073">
        <w:rPr>
          <w:sz w:val="22"/>
        </w:rPr>
        <w:t xml:space="preserve"> The Project Implementation Committee (PIC) will be headed by Director, Climate Change and International Convention, DoE, comprising representatives from most relevant stakeholders. The PIC will oversee all the activities related to the project implementation and provide necessary guidance for implementation of different activities. The committee will meet, at least, three times in a year or as and when necessary. The Deputy Director/Assistant Director, Climate Change and International Convention, DoE will play the role of Member Secretary.</w:t>
      </w:r>
    </w:p>
    <w:p w:rsidR="00CA7D36" w:rsidRPr="00992073" w:rsidRDefault="00CA7D36" w:rsidP="00CA7D36">
      <w:pPr>
        <w:pStyle w:val="NumberedParagraph"/>
        <w:numPr>
          <w:ilvl w:val="2"/>
          <w:numId w:val="2"/>
        </w:numPr>
        <w:spacing w:after="80"/>
        <w:rPr>
          <w:color w:val="000000"/>
          <w:sz w:val="22"/>
        </w:rPr>
      </w:pPr>
      <w:r w:rsidRPr="00992073">
        <w:rPr>
          <w:i/>
          <w:sz w:val="22"/>
        </w:rPr>
        <w:t>Technical Working Group (TWG):</w:t>
      </w:r>
      <w:r w:rsidRPr="00992073">
        <w:rPr>
          <w:color w:val="000000"/>
          <w:sz w:val="22"/>
        </w:rPr>
        <w:t xml:space="preserve"> The purpose of the Technical Working Group (TWG) is to facilitate national initiatives to fulfil Bangladesh’s GHG sector related commitments under (i) the Enhanced Transparency Framework (ETF) of the Paris Agreement and (ii) Bangladesh’s Nationally Determined Contribution. </w:t>
      </w:r>
      <w:r w:rsidRPr="00992073">
        <w:rPr>
          <w:sz w:val="22"/>
        </w:rPr>
        <w:t>The committee will meet, at least, three times in a year or as and when necessary.</w:t>
      </w:r>
      <w:r w:rsidRPr="00992073">
        <w:rPr>
          <w:color w:val="000000"/>
          <w:sz w:val="22"/>
        </w:rPr>
        <w:t xml:space="preserve"> The TWG provides a basis for technical and operational coordination between stakeholders for climate-related measurement, reporting, and verification.  The main duties of the TWG are described in the project document and include, inter alia:</w:t>
      </w:r>
    </w:p>
    <w:p w:rsidR="00CA7D36" w:rsidRPr="00992073" w:rsidRDefault="00CA7D36" w:rsidP="00CA7D36">
      <w:pPr>
        <w:pStyle w:val="NumberedParagraph"/>
        <w:numPr>
          <w:ilvl w:val="2"/>
          <w:numId w:val="2"/>
        </w:numPr>
        <w:spacing w:after="80"/>
        <w:rPr>
          <w:color w:val="000000"/>
          <w:sz w:val="22"/>
        </w:rPr>
      </w:pPr>
      <w:r w:rsidRPr="00992073">
        <w:rPr>
          <w:i/>
          <w:sz w:val="22"/>
          <w:lang w:val="en-GB"/>
        </w:rPr>
        <w:t>Project Steering Committee (PSC):</w:t>
      </w:r>
      <w:r w:rsidRPr="00992073">
        <w:rPr>
          <w:sz w:val="22"/>
          <w:lang w:val="en-GB"/>
        </w:rPr>
        <w:t xml:space="preserve">  This CEO endorsement included the project’s intended and default execution arrangements, covering work-plan and budget.  During the project, it is anticipated that national circumstances and stakeholders’ priorities may evolve, which may require adaptability and flexibility in project execution. The Project’s Steering Committee (PSC) will ensure the flexibility in project’s execution (including work-plan and budget). The PSC </w:t>
      </w:r>
      <w:r w:rsidRPr="00992073">
        <w:rPr>
          <w:bCs/>
          <w:sz w:val="22"/>
          <w:lang w:val="en-GB"/>
        </w:rPr>
        <w:t xml:space="preserve">will also oversee and coordinate strategic aspects of the project’s execution, and the members of the PSC will serve as project’s focal points in their respective institutions. The Project Steering Committee (PSC) will be chaired by the respected Secretary, Ministry of Environment, Forest and Climate change. </w:t>
      </w:r>
      <w:r w:rsidRPr="00992073">
        <w:rPr>
          <w:sz w:val="22"/>
          <w:lang w:val="en-GB"/>
        </w:rPr>
        <w:t>Appendix 10 presents the Terms of Reference (ToR) and provisional membership of the PSC. The PSC will meet twice in a year, and additional time, if needed.</w:t>
      </w:r>
    </w:p>
    <w:p w:rsidR="00CA7D36" w:rsidRPr="00992073" w:rsidRDefault="00CA7D36" w:rsidP="00CA7D36">
      <w:pPr>
        <w:pStyle w:val="NumberedParagraph"/>
        <w:numPr>
          <w:ilvl w:val="2"/>
          <w:numId w:val="2"/>
        </w:numPr>
        <w:spacing w:after="80"/>
        <w:rPr>
          <w:sz w:val="22"/>
        </w:rPr>
      </w:pPr>
      <w:r w:rsidRPr="00992073">
        <w:rPr>
          <w:i/>
          <w:sz w:val="22"/>
          <w:lang w:val="en-GB"/>
        </w:rPr>
        <w:t>GEF Agency:</w:t>
      </w:r>
      <w:r w:rsidRPr="00992073">
        <w:rPr>
          <w:sz w:val="22"/>
          <w:lang w:val="en-GB"/>
        </w:rPr>
        <w:t xml:space="preserve">  As requested by the Ministry of Environment, Forest and Climate Change (MoEFCC), and Bangladesh’s GEF Operational Focal Point (OFP), FAO will act as the implementing agency for this project. As the GEF implementing agency, FAO will act as a trustee of GEF resources, applying a fiduciary standard to ensure efficient delivery of global environmental benefits. FAO will disburse funds and provide technical, operational, and financial oversight throughout the project cycle, and will fulfil annual reporting obligations to GEF Secretariat on the project’s status. </w:t>
      </w:r>
      <w:r w:rsidRPr="00992073">
        <w:rPr>
          <w:color w:val="000000"/>
          <w:sz w:val="22"/>
        </w:rPr>
        <w:t xml:space="preserve">FAO shall in its role as GEF Implementing Agency, provide project oversight to ensure that GEF policies and criteria are adhered to and that the project meets its objectives and achieves expected outcomes in an efficient and effective manner. It shall also in partnership with DoE, and other key project partners engage in promoting the project with a view to mobilizing resources and partnership. Project supervision will be entrusted to FAO who will discharge this responsibility through the assigned Task Manager who represents the FAO on the Project Steering Committee. Project supervision missions by the Task Manager shall constitute part of the project </w:t>
      </w:r>
      <w:r w:rsidRPr="00992073">
        <w:rPr>
          <w:color w:val="000000"/>
          <w:sz w:val="22"/>
        </w:rPr>
        <w:lastRenderedPageBreak/>
        <w:t xml:space="preserve">supervision plan.  FAO will perform the liaison function between DoE and the GEF Secretariat and report on the progress against milestones outlined in the CEO approval letter to the GEF Secretariat.  FAO shall inform the GEF Secretariat whenever there is a potentially substantive co-financing change (i.e.one affecting the project objectives, the underlying concept, scale, scope, strategic priority, conformity with GEF criteria, likelihood of project success, or outcome of the project).  It shall rate, on an annual basis, progress in meeting project objectives, project implementation progress, risk, and quality of project monitoring and evaluation, and report to the GEF Secretariat through the Project Implementation Review (PIR) report prepared by the National Executing Agency (NEA) and ensure </w:t>
      </w:r>
      <w:r w:rsidRPr="00992073">
        <w:rPr>
          <w:sz w:val="22"/>
        </w:rPr>
        <w:t>that the Evaluation and Oversight Unit of FAO arranges for an independent terminal evaluation and submits its report to the GEF Evaluation Office.</w:t>
      </w:r>
    </w:p>
    <w:p w:rsidR="00CA7D36" w:rsidRPr="00992073" w:rsidRDefault="00CA7D36" w:rsidP="00CA7D36">
      <w:pPr>
        <w:pStyle w:val="NumberedParagraph"/>
        <w:numPr>
          <w:ilvl w:val="2"/>
          <w:numId w:val="2"/>
        </w:numPr>
        <w:spacing w:after="80"/>
        <w:rPr>
          <w:sz w:val="22"/>
        </w:rPr>
      </w:pPr>
      <w:r w:rsidRPr="00992073">
        <w:rPr>
          <w:i/>
          <w:sz w:val="22"/>
          <w:lang w:val="en-GB"/>
        </w:rPr>
        <w:t xml:space="preserve">Project Executing Entity: </w:t>
      </w:r>
      <w:r w:rsidRPr="00992073">
        <w:rPr>
          <w:sz w:val="22"/>
          <w:lang w:val="en-GB"/>
        </w:rPr>
        <w:t xml:space="preserve">Department of Environment (DoE) under Ministry of Environment, Forest, and Climate Change (MoEFCC) is the executing entity of the project. </w:t>
      </w:r>
      <w:r w:rsidRPr="00992073">
        <w:rPr>
          <w:sz w:val="22"/>
        </w:rPr>
        <w:t xml:space="preserve"> DoE, as Executing Agency, will work closely with GEF Implementing Agency, FAO that administers the project. The roles of DoE will include:</w:t>
      </w:r>
    </w:p>
    <w:p w:rsidR="00CA7D36" w:rsidRPr="00992073" w:rsidRDefault="00CA7D36" w:rsidP="00CA7D36">
      <w:pPr>
        <w:numPr>
          <w:ilvl w:val="0"/>
          <w:numId w:val="4"/>
        </w:numPr>
        <w:spacing w:after="0"/>
        <w:rPr>
          <w:rFonts w:ascii="Times New Roman" w:hAnsi="Times New Roman"/>
          <w:lang w:val="en-GB"/>
        </w:rPr>
      </w:pPr>
      <w:r w:rsidRPr="00992073">
        <w:rPr>
          <w:rFonts w:ascii="Times New Roman" w:hAnsi="Times New Roman"/>
        </w:rPr>
        <w:t xml:space="preserve">Ensure liaison with all stakeholders to </w:t>
      </w:r>
      <w:r w:rsidRPr="00992073">
        <w:rPr>
          <w:rFonts w:ascii="Times New Roman" w:hAnsi="Times New Roman"/>
          <w:lang w:val="en-GB"/>
        </w:rPr>
        <w:t xml:space="preserve">delineate a relevant area of responsibility for the project’s activities for the components 1, 2 and 3. </w:t>
      </w:r>
    </w:p>
    <w:p w:rsidR="00CA7D36" w:rsidRPr="00992073" w:rsidRDefault="00CA7D36" w:rsidP="00CA7D36">
      <w:pPr>
        <w:numPr>
          <w:ilvl w:val="0"/>
          <w:numId w:val="4"/>
        </w:numPr>
        <w:spacing w:after="0"/>
        <w:jc w:val="both"/>
        <w:rPr>
          <w:rFonts w:ascii="Times New Roman" w:hAnsi="Times New Roman"/>
          <w:color w:val="000000"/>
        </w:rPr>
      </w:pPr>
      <w:r w:rsidRPr="00992073">
        <w:rPr>
          <w:rFonts w:ascii="Times New Roman" w:hAnsi="Times New Roman"/>
          <w:color w:val="000000"/>
        </w:rPr>
        <w:t>Ensure planning, promotion, coordination and overseeing the project implementation and coordination of overall project activities to achieve the intended objectives.</w:t>
      </w:r>
    </w:p>
    <w:p w:rsidR="00CA7D36" w:rsidRPr="00992073" w:rsidRDefault="00CA7D36" w:rsidP="00CA7D36">
      <w:pPr>
        <w:numPr>
          <w:ilvl w:val="0"/>
          <w:numId w:val="4"/>
        </w:numPr>
        <w:spacing w:after="0"/>
        <w:jc w:val="both"/>
        <w:rPr>
          <w:rFonts w:ascii="Times New Roman" w:hAnsi="Times New Roman"/>
          <w:color w:val="000000"/>
        </w:rPr>
      </w:pPr>
      <w:r w:rsidRPr="00992073">
        <w:rPr>
          <w:rFonts w:ascii="Times New Roman" w:hAnsi="Times New Roman"/>
          <w:color w:val="000000"/>
        </w:rPr>
        <w:t>Assistance in the execution of project activities with necessary engagement of stakeholders.</w:t>
      </w:r>
    </w:p>
    <w:p w:rsidR="00CA7D36" w:rsidRPr="00992073" w:rsidRDefault="00CA7D36" w:rsidP="00CA7D36">
      <w:pPr>
        <w:numPr>
          <w:ilvl w:val="0"/>
          <w:numId w:val="4"/>
        </w:numPr>
        <w:spacing w:after="0"/>
        <w:jc w:val="both"/>
        <w:rPr>
          <w:rFonts w:ascii="Times New Roman" w:hAnsi="Times New Roman"/>
          <w:color w:val="000000"/>
        </w:rPr>
      </w:pPr>
      <w:r w:rsidRPr="00992073">
        <w:rPr>
          <w:rFonts w:ascii="Times New Roman" w:hAnsi="Times New Roman"/>
          <w:color w:val="000000"/>
        </w:rPr>
        <w:t>Assistance in the engagement of possible collaborating agencies through signing of MoU/LoA/Data Sharing Agreements.</w:t>
      </w:r>
    </w:p>
    <w:p w:rsidR="00CA7D36" w:rsidRPr="00992073" w:rsidRDefault="00CA7D36" w:rsidP="00CA7D36">
      <w:pPr>
        <w:numPr>
          <w:ilvl w:val="0"/>
          <w:numId w:val="4"/>
        </w:numPr>
        <w:spacing w:after="0"/>
        <w:jc w:val="both"/>
        <w:rPr>
          <w:rFonts w:ascii="Times New Roman" w:hAnsi="Times New Roman"/>
          <w:color w:val="000000"/>
        </w:rPr>
      </w:pPr>
      <w:r w:rsidRPr="00992073">
        <w:rPr>
          <w:rFonts w:ascii="Times New Roman" w:hAnsi="Times New Roman"/>
          <w:color w:val="000000"/>
        </w:rPr>
        <w:t>Assistance in the organization of relevant workshops and meetings, facilitation of policy and regulatory approvals, and any other support to best implement the project</w:t>
      </w:r>
    </w:p>
    <w:p w:rsidR="00CA7D36" w:rsidRPr="00992073" w:rsidRDefault="00CA7D36" w:rsidP="00CA7D36">
      <w:pPr>
        <w:numPr>
          <w:ilvl w:val="0"/>
          <w:numId w:val="4"/>
        </w:numPr>
        <w:spacing w:after="0"/>
        <w:jc w:val="both"/>
        <w:rPr>
          <w:rFonts w:ascii="Times New Roman" w:hAnsi="Times New Roman"/>
          <w:color w:val="000000"/>
        </w:rPr>
      </w:pPr>
      <w:r w:rsidRPr="00992073">
        <w:rPr>
          <w:rFonts w:ascii="Times New Roman" w:hAnsi="Times New Roman"/>
          <w:color w:val="000000"/>
        </w:rPr>
        <w:t>support to the Mid-Term Review (MTR) and Terminal Evaluation (MTE) and audit of the project.</w:t>
      </w:r>
    </w:p>
    <w:p w:rsidR="00CA7D36" w:rsidRPr="00992073" w:rsidRDefault="00CA7D36" w:rsidP="00CA7D36">
      <w:pPr>
        <w:pStyle w:val="NumberedParagraph"/>
        <w:numPr>
          <w:ilvl w:val="2"/>
          <w:numId w:val="2"/>
        </w:numPr>
        <w:spacing w:before="120" w:after="120"/>
        <w:rPr>
          <w:bCs/>
          <w:sz w:val="22"/>
          <w:lang w:val="en-GB"/>
        </w:rPr>
      </w:pPr>
      <w:r w:rsidRPr="00992073">
        <w:rPr>
          <w:i/>
          <w:sz w:val="22"/>
          <w:lang w:val="en-GB"/>
        </w:rPr>
        <w:t xml:space="preserve">Project Support Services.  </w:t>
      </w:r>
      <w:r w:rsidRPr="00992073">
        <w:rPr>
          <w:sz w:val="22"/>
          <w:lang w:val="en-GB"/>
        </w:rPr>
        <w:t xml:space="preserve">Based on a governmental request, FAO’s country office will </w:t>
      </w:r>
      <w:r w:rsidRPr="00992073">
        <w:rPr>
          <w:rFonts w:eastAsia="Calibri"/>
          <w:sz w:val="22"/>
          <w:lang w:val="en-GB"/>
        </w:rPr>
        <w:t>provide direct operation and administrative support services</w:t>
      </w:r>
      <w:r w:rsidRPr="00992073">
        <w:rPr>
          <w:sz w:val="22"/>
          <w:lang w:val="en-GB"/>
        </w:rPr>
        <w:t xml:space="preserve"> to the project, including </w:t>
      </w:r>
      <w:r w:rsidRPr="00992073">
        <w:rPr>
          <w:rFonts w:eastAsia="Calibri"/>
          <w:sz w:val="22"/>
          <w:lang w:val="en-GB"/>
        </w:rPr>
        <w:t>procurement and contracting services, with costs to be recovered from the project management costs (PMC)</w:t>
      </w:r>
      <w:r w:rsidRPr="00992073">
        <w:rPr>
          <w:sz w:val="22"/>
          <w:lang w:val="en-GB"/>
        </w:rPr>
        <w:t xml:space="preserve">. FAO’s country office will assist the PMU in providing six-monthly financial reports including a statement of project expenditures to the </w:t>
      </w:r>
      <w:r w:rsidRPr="00992073">
        <w:rPr>
          <w:spacing w:val="-2"/>
          <w:sz w:val="22"/>
          <w:lang w:val="en-GB"/>
        </w:rPr>
        <w:t>PSC</w:t>
      </w:r>
      <w:r w:rsidRPr="00992073">
        <w:rPr>
          <w:sz w:val="22"/>
          <w:lang w:val="en-GB"/>
        </w:rPr>
        <w:t>.  FAO will also assist the PMU in the preparation of budget revisions and in tracking the project’s finances via FAO’s financial management system.</w:t>
      </w:r>
    </w:p>
    <w:p w:rsidR="00CA7D36" w:rsidRPr="00992073" w:rsidRDefault="00CA7D36" w:rsidP="00CA7D36">
      <w:pPr>
        <w:pStyle w:val="NumberedParagraph"/>
        <w:numPr>
          <w:ilvl w:val="0"/>
          <w:numId w:val="0"/>
        </w:numPr>
        <w:spacing w:before="120" w:after="120"/>
        <w:ind w:left="360"/>
        <w:rPr>
          <w:bCs/>
          <w:sz w:val="22"/>
          <w:lang w:val="en-GB"/>
        </w:rPr>
      </w:pPr>
    </w:p>
    <w:p w:rsidR="00CA7D36" w:rsidRPr="00992073" w:rsidRDefault="00CA7D36" w:rsidP="00CA7D36">
      <w:pPr>
        <w:pStyle w:val="NumberedParagraph"/>
        <w:numPr>
          <w:ilvl w:val="1"/>
          <w:numId w:val="2"/>
        </w:numPr>
        <w:rPr>
          <w:b/>
          <w:sz w:val="22"/>
          <w:lang w:val="en-GB"/>
        </w:rPr>
      </w:pPr>
      <w:bookmarkStart w:id="0" w:name="_Toc515017329"/>
      <w:r w:rsidRPr="00992073">
        <w:rPr>
          <w:b/>
          <w:sz w:val="22"/>
          <w:lang w:val="en-GB"/>
        </w:rPr>
        <w:t xml:space="preserve"> Institutional framework</w:t>
      </w:r>
      <w:bookmarkEnd w:id="0"/>
      <w:r w:rsidRPr="00992073">
        <w:rPr>
          <w:b/>
          <w:sz w:val="22"/>
          <w:lang w:val="en-GB"/>
        </w:rPr>
        <w:t xml:space="preserve"> </w:t>
      </w:r>
    </w:p>
    <w:p w:rsidR="00CA7D36" w:rsidRPr="00992073" w:rsidRDefault="00CA7D36" w:rsidP="00CA7D36">
      <w:pPr>
        <w:pStyle w:val="Heading3"/>
        <w:rPr>
          <w:iCs/>
          <w:sz w:val="22"/>
          <w:szCs w:val="22"/>
          <w:lang w:val="en-GB"/>
        </w:rPr>
      </w:pPr>
    </w:p>
    <w:p w:rsidR="00CA7D36" w:rsidRPr="00992073" w:rsidRDefault="00CA7D36" w:rsidP="00CA7D36">
      <w:pPr>
        <w:pStyle w:val="Heading3"/>
        <w:rPr>
          <w:b w:val="0"/>
          <w:i/>
          <w:iCs/>
          <w:sz w:val="22"/>
          <w:szCs w:val="22"/>
          <w:lang w:val="en-GB"/>
        </w:rPr>
      </w:pPr>
      <w:r w:rsidRPr="00992073">
        <w:rPr>
          <w:b w:val="0"/>
          <w:iCs/>
          <w:sz w:val="22"/>
          <w:szCs w:val="22"/>
          <w:lang w:val="en-GB"/>
        </w:rPr>
        <w:t xml:space="preserve">The project’s institutional arrangement is presented in the Figure 12.1. The terms of reference and provisional membership of the PSC, TWG, and PMU is presented in the Appendix 10. </w:t>
      </w:r>
    </w:p>
    <w:p w:rsidR="00CA7D36" w:rsidRPr="00EB5E15" w:rsidRDefault="00CA7D36" w:rsidP="00CA7D36">
      <w:pPr>
        <w:rPr>
          <w:lang w:val="en-GB"/>
        </w:rPr>
      </w:pPr>
    </w:p>
    <w:p w:rsidR="00CA7D36" w:rsidRDefault="00312E45" w:rsidP="00CA7D36">
      <w:pPr>
        <w:pStyle w:val="NumberedParagraph"/>
        <w:numPr>
          <w:ilvl w:val="0"/>
          <w:numId w:val="0"/>
        </w:numPr>
        <w:spacing w:after="120"/>
        <w:jc w:val="left"/>
        <w:rPr>
          <w:lang w:val="en-GB"/>
        </w:rPr>
      </w:pPr>
      <w:r w:rsidRPr="009E7E39">
        <w:rPr>
          <w:noProof/>
        </w:rPr>
        <w:lastRenderedPageBreak/>
        <w:drawing>
          <wp:inline distT="0" distB="0" distL="0" distR="0" wp14:anchorId="51045925" wp14:editId="2EDCC00D">
            <wp:extent cx="5943600" cy="4578249"/>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3600" cy="4578249"/>
                    </a:xfrm>
                    <a:prstGeom prst="rect">
                      <a:avLst/>
                    </a:prstGeom>
                    <a:noFill/>
                    <a:ln>
                      <a:noFill/>
                    </a:ln>
                  </pic:spPr>
                </pic:pic>
              </a:graphicData>
            </a:graphic>
          </wp:inline>
        </w:drawing>
      </w:r>
      <w:bookmarkStart w:id="1" w:name="_GoBack"/>
      <w:bookmarkEnd w:id="1"/>
    </w:p>
    <w:p w:rsidR="00CA7D36" w:rsidRPr="00860D92" w:rsidRDefault="00CA7D36" w:rsidP="00CA7D36">
      <w:pPr>
        <w:pStyle w:val="Heading3"/>
        <w:keepLines/>
        <w:spacing w:before="240" w:after="120"/>
        <w:jc w:val="both"/>
        <w:rPr>
          <w:b w:val="0"/>
          <w:szCs w:val="22"/>
          <w:lang w:val="en-GB"/>
        </w:rPr>
      </w:pPr>
      <w:bookmarkStart w:id="2" w:name="_Toc515017331"/>
      <w:r w:rsidRPr="00860D92">
        <w:rPr>
          <w:b w:val="0"/>
          <w:szCs w:val="22"/>
          <w:lang w:val="en-GB"/>
        </w:rPr>
        <w:t>Figure 12.1 Overview of the Project’s Institutional Arrangements</w:t>
      </w:r>
    </w:p>
    <w:p w:rsidR="00CA7D36" w:rsidRPr="006D2391" w:rsidRDefault="00CA7D36" w:rsidP="00CA7D36">
      <w:pPr>
        <w:pStyle w:val="Heading3"/>
        <w:keepLines/>
        <w:numPr>
          <w:ilvl w:val="1"/>
          <w:numId w:val="2"/>
        </w:numPr>
        <w:spacing w:before="240" w:after="120"/>
        <w:jc w:val="both"/>
        <w:rPr>
          <w:b w:val="0"/>
          <w:szCs w:val="22"/>
          <w:lang w:val="en-GB"/>
        </w:rPr>
      </w:pPr>
      <w:r>
        <w:rPr>
          <w:szCs w:val="22"/>
          <w:lang w:val="en-GB"/>
        </w:rPr>
        <w:t xml:space="preserve">Project </w:t>
      </w:r>
      <w:r w:rsidRPr="006D2391">
        <w:rPr>
          <w:szCs w:val="22"/>
          <w:lang w:val="en-GB"/>
        </w:rPr>
        <w:t xml:space="preserve">inception </w:t>
      </w:r>
      <w:r>
        <w:rPr>
          <w:szCs w:val="22"/>
          <w:lang w:val="en-GB"/>
        </w:rPr>
        <w:t>p</w:t>
      </w:r>
      <w:r w:rsidRPr="006D2391">
        <w:rPr>
          <w:szCs w:val="22"/>
          <w:lang w:val="en-GB"/>
        </w:rPr>
        <w:t>rior</w:t>
      </w:r>
      <w:r>
        <w:rPr>
          <w:szCs w:val="22"/>
          <w:lang w:val="en-GB"/>
        </w:rPr>
        <w:t xml:space="preserve">ity actions </w:t>
      </w:r>
      <w:bookmarkEnd w:id="2"/>
    </w:p>
    <w:p w:rsidR="00CA7D36" w:rsidRPr="007106E3" w:rsidRDefault="00CA7D36" w:rsidP="00CA7D36">
      <w:pPr>
        <w:pStyle w:val="NumberedParagraph"/>
        <w:numPr>
          <w:ilvl w:val="0"/>
          <w:numId w:val="0"/>
        </w:numPr>
        <w:spacing w:before="120" w:after="120"/>
        <w:rPr>
          <w:sz w:val="22"/>
          <w:lang w:val="en-GB"/>
        </w:rPr>
      </w:pPr>
      <w:r>
        <w:rPr>
          <w:sz w:val="22"/>
          <w:lang w:val="en-GB"/>
        </w:rPr>
        <w:t>The</w:t>
      </w:r>
      <w:r w:rsidRPr="007106E3">
        <w:rPr>
          <w:sz w:val="22"/>
          <w:lang w:val="en-GB"/>
        </w:rPr>
        <w:t xml:space="preserve"> first six months after the project has become operationally active </w:t>
      </w:r>
      <w:r>
        <w:rPr>
          <w:sz w:val="22"/>
          <w:lang w:val="en-GB"/>
        </w:rPr>
        <w:t xml:space="preserve">will be considered as the </w:t>
      </w:r>
      <w:r w:rsidRPr="007106E3">
        <w:rPr>
          <w:sz w:val="22"/>
          <w:lang w:val="en-GB"/>
        </w:rPr>
        <w:t>inception phase of the project</w:t>
      </w:r>
      <w:r>
        <w:rPr>
          <w:sz w:val="22"/>
          <w:lang w:val="en-GB"/>
        </w:rPr>
        <w:t>. T</w:t>
      </w:r>
      <w:r w:rsidRPr="007106E3">
        <w:rPr>
          <w:sz w:val="22"/>
          <w:lang w:val="en-GB"/>
        </w:rPr>
        <w:t xml:space="preserve">he PMU will </w:t>
      </w:r>
      <w:r>
        <w:rPr>
          <w:sz w:val="22"/>
          <w:lang w:val="en-GB"/>
        </w:rPr>
        <w:t xml:space="preserve">perform the </w:t>
      </w:r>
      <w:r w:rsidRPr="007106E3">
        <w:rPr>
          <w:sz w:val="22"/>
          <w:lang w:val="en-GB"/>
        </w:rPr>
        <w:t xml:space="preserve">following </w:t>
      </w:r>
      <w:r>
        <w:rPr>
          <w:sz w:val="22"/>
          <w:lang w:val="en-GB"/>
        </w:rPr>
        <w:t>priority actions during the inception phase</w:t>
      </w:r>
      <w:r w:rsidRPr="007106E3">
        <w:rPr>
          <w:sz w:val="22"/>
          <w:lang w:val="en-GB"/>
        </w:rPr>
        <w:t>.</w:t>
      </w:r>
    </w:p>
    <w:p w:rsidR="00CA7D36" w:rsidRPr="006D2391" w:rsidRDefault="00CA7D36" w:rsidP="00CA7D36">
      <w:pPr>
        <w:pStyle w:val="ListParagraph"/>
        <w:numPr>
          <w:ilvl w:val="0"/>
          <w:numId w:val="3"/>
        </w:numPr>
      </w:pPr>
      <w:r w:rsidRPr="006D2391">
        <w:t>Recruit the PMU staff.</w:t>
      </w:r>
    </w:p>
    <w:p w:rsidR="00CA7D36" w:rsidRPr="006D2391" w:rsidRDefault="00CA7D36" w:rsidP="00CA7D36">
      <w:pPr>
        <w:pStyle w:val="ListParagraph"/>
        <w:numPr>
          <w:ilvl w:val="0"/>
          <w:numId w:val="3"/>
        </w:numPr>
      </w:pPr>
      <w:r w:rsidRPr="006D2391">
        <w:t>Establish the PSC.</w:t>
      </w:r>
    </w:p>
    <w:p w:rsidR="00CA7D36" w:rsidRPr="006D2391" w:rsidRDefault="00CA7D36" w:rsidP="00CA7D36">
      <w:pPr>
        <w:pStyle w:val="ListParagraph"/>
        <w:numPr>
          <w:ilvl w:val="0"/>
          <w:numId w:val="3"/>
        </w:numPr>
      </w:pPr>
      <w:r w:rsidRPr="006D2391">
        <w:t>Establish the TWG, including the PSC’s formal endorsement of the TWG’s ToR and membership.</w:t>
      </w:r>
    </w:p>
    <w:p w:rsidR="00CA7D36" w:rsidRPr="006D2391" w:rsidRDefault="00CA7D36" w:rsidP="00CA7D36">
      <w:pPr>
        <w:pStyle w:val="ListParagraph"/>
        <w:numPr>
          <w:ilvl w:val="0"/>
          <w:numId w:val="3"/>
        </w:numPr>
      </w:pPr>
      <w:r w:rsidRPr="006D2391">
        <w:t>Review and, as needed, refine the stakeholder-coordination mapping</w:t>
      </w:r>
      <w:r>
        <w:t xml:space="preserve"> with needed mechanism like LoA, MoU, data sharing contract etc.</w:t>
      </w:r>
    </w:p>
    <w:p w:rsidR="00CA7D36" w:rsidRDefault="00CA7D36" w:rsidP="00CA7D36">
      <w:pPr>
        <w:pStyle w:val="ListParagraph"/>
        <w:numPr>
          <w:ilvl w:val="0"/>
          <w:numId w:val="3"/>
        </w:numPr>
      </w:pPr>
      <w:r w:rsidRPr="006D2391">
        <w:t>Review of the project’s logical framework and results matrix (e.g., baselines) and draft any refinements for the PSC’s review and endorsement in order to reflect any circumstantial changes since the GEF CEO’s endorsement.</w:t>
      </w:r>
      <w:r w:rsidRPr="007106E3">
        <w:t xml:space="preserve"> </w:t>
      </w:r>
      <w:r w:rsidRPr="006D2391">
        <w:t>In particular, indicators (and related baseline and targets) will be finalized</w:t>
      </w:r>
      <w:r>
        <w:t>.</w:t>
      </w:r>
      <w:r w:rsidRPr="007106E3">
        <w:t xml:space="preserve"> </w:t>
      </w:r>
    </w:p>
    <w:p w:rsidR="00CA7D36" w:rsidRPr="007106E3" w:rsidRDefault="00CA7D36" w:rsidP="00CA7D36">
      <w:pPr>
        <w:pStyle w:val="ListParagraph"/>
        <w:numPr>
          <w:ilvl w:val="0"/>
          <w:numId w:val="3"/>
        </w:numPr>
      </w:pPr>
      <w:r w:rsidRPr="006D2391">
        <w:t>Refine the M&amp;E plan as needed to reflect specific requirements for each indicator (e.g., data collection methods, frequency, responsibilities for data collection and analysis and budget).  Any missing baseline data will also be collected during this time.</w:t>
      </w:r>
    </w:p>
    <w:p w:rsidR="00CA7D36" w:rsidRPr="006D2391" w:rsidRDefault="00CA7D36" w:rsidP="00CA7D36">
      <w:pPr>
        <w:pStyle w:val="ListParagraph"/>
        <w:numPr>
          <w:ilvl w:val="0"/>
          <w:numId w:val="3"/>
        </w:numPr>
      </w:pPr>
      <w:r w:rsidRPr="006D2391">
        <w:t xml:space="preserve">Draft </w:t>
      </w:r>
      <w:r>
        <w:t>1</w:t>
      </w:r>
      <w:r w:rsidRPr="007106E3">
        <w:rPr>
          <w:vertAlign w:val="superscript"/>
        </w:rPr>
        <w:t>st</w:t>
      </w:r>
      <w:r>
        <w:t xml:space="preserve"> year </w:t>
      </w:r>
      <w:r w:rsidRPr="006D2391">
        <w:t xml:space="preserve">annual work-plan and budget </w:t>
      </w:r>
      <w:r>
        <w:t xml:space="preserve">for PTF clearance and further </w:t>
      </w:r>
      <w:r w:rsidRPr="006D2391">
        <w:t>approv</w:t>
      </w:r>
      <w:r>
        <w:t>al</w:t>
      </w:r>
      <w:r w:rsidRPr="006D2391">
        <w:t xml:space="preserve"> by the PSC.</w:t>
      </w:r>
    </w:p>
    <w:p w:rsidR="00CA7D36" w:rsidRPr="006D2391" w:rsidRDefault="00CA7D36" w:rsidP="00CA7D36">
      <w:pPr>
        <w:pStyle w:val="ListParagraph"/>
        <w:numPr>
          <w:ilvl w:val="0"/>
          <w:numId w:val="3"/>
        </w:numPr>
      </w:pPr>
      <w:r w:rsidRPr="006D2391">
        <w:t>Conduct an inception workshop.</w:t>
      </w:r>
    </w:p>
    <w:p w:rsidR="00CA7D36" w:rsidRPr="006D2391" w:rsidRDefault="00CA7D36" w:rsidP="00CA7D36">
      <w:pPr>
        <w:pStyle w:val="ListParagraph"/>
        <w:numPr>
          <w:ilvl w:val="0"/>
          <w:numId w:val="3"/>
        </w:numPr>
      </w:pPr>
      <w:r w:rsidRPr="006D2391">
        <w:lastRenderedPageBreak/>
        <w:t>Hold the first PSC meeting.</w:t>
      </w:r>
    </w:p>
    <w:p w:rsidR="00CA7D36" w:rsidRDefault="00CA7D36" w:rsidP="00CA7D36">
      <w:pPr>
        <w:pStyle w:val="ListParagraph"/>
        <w:numPr>
          <w:ilvl w:val="0"/>
          <w:numId w:val="3"/>
        </w:numPr>
      </w:pPr>
      <w:r w:rsidRPr="006D2391">
        <w:t xml:space="preserve">Prepare an inception report and </w:t>
      </w:r>
      <w:r>
        <w:t xml:space="preserve">submit its outcome </w:t>
      </w:r>
      <w:r w:rsidRPr="006D2391">
        <w:t>to the PSC</w:t>
      </w:r>
    </w:p>
    <w:p w:rsidR="00666F17" w:rsidRPr="00CA7D36" w:rsidRDefault="00666F17">
      <w:pPr>
        <w:rPr>
          <w:lang w:val="en-GB"/>
        </w:rPr>
      </w:pPr>
    </w:p>
    <w:sectPr w:rsidR="00666F17" w:rsidRPr="00CA7D3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F258F" w:rsidRDefault="00BF258F" w:rsidP="00CA7D36">
      <w:pPr>
        <w:spacing w:after="0" w:line="240" w:lineRule="auto"/>
      </w:pPr>
      <w:r>
        <w:separator/>
      </w:r>
    </w:p>
  </w:endnote>
  <w:endnote w:type="continuationSeparator" w:id="0">
    <w:p w:rsidR="00BF258F" w:rsidRDefault="00BF258F" w:rsidP="00CA7D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S Mincho">
    <w:altName w:val="Yu Gothic UI"/>
    <w:panose1 w:val="02020609040205080304"/>
    <w:charset w:val="80"/>
    <w:family w:val="roman"/>
    <w:notTrueType/>
    <w:pitch w:val="fixed"/>
    <w:sig w:usb0="00000000" w:usb1="08070000" w:usb2="00000010" w:usb3="00000000" w:csb0="00020000"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F258F" w:rsidRDefault="00BF258F" w:rsidP="00CA7D36">
      <w:pPr>
        <w:spacing w:after="0" w:line="240" w:lineRule="auto"/>
      </w:pPr>
      <w:r>
        <w:separator/>
      </w:r>
    </w:p>
  </w:footnote>
  <w:footnote w:type="continuationSeparator" w:id="0">
    <w:p w:rsidR="00BF258F" w:rsidRDefault="00BF258F" w:rsidP="00CA7D3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8F35BB"/>
    <w:multiLevelType w:val="hybridMultilevel"/>
    <w:tmpl w:val="E69C730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2EFF2955"/>
    <w:multiLevelType w:val="hybridMultilevel"/>
    <w:tmpl w:val="AA6C7F62"/>
    <w:lvl w:ilvl="0" w:tplc="04090019">
      <w:start w:val="1"/>
      <w:numFmt w:val="lowerLetter"/>
      <w:lvlText w:val="%1."/>
      <w:lvlJc w:val="left"/>
      <w:pPr>
        <w:ind w:left="1996" w:hanging="360"/>
      </w:pPr>
    </w:lvl>
    <w:lvl w:ilvl="1" w:tplc="04090019" w:tentative="1">
      <w:start w:val="1"/>
      <w:numFmt w:val="lowerLetter"/>
      <w:lvlText w:val="%2."/>
      <w:lvlJc w:val="left"/>
      <w:pPr>
        <w:ind w:left="2716" w:hanging="360"/>
      </w:pPr>
    </w:lvl>
    <w:lvl w:ilvl="2" w:tplc="0409001B" w:tentative="1">
      <w:start w:val="1"/>
      <w:numFmt w:val="lowerRoman"/>
      <w:lvlText w:val="%3."/>
      <w:lvlJc w:val="right"/>
      <w:pPr>
        <w:ind w:left="3436" w:hanging="180"/>
      </w:pPr>
    </w:lvl>
    <w:lvl w:ilvl="3" w:tplc="0409000F" w:tentative="1">
      <w:start w:val="1"/>
      <w:numFmt w:val="decimal"/>
      <w:lvlText w:val="%4."/>
      <w:lvlJc w:val="left"/>
      <w:pPr>
        <w:ind w:left="4156" w:hanging="360"/>
      </w:pPr>
    </w:lvl>
    <w:lvl w:ilvl="4" w:tplc="04090019" w:tentative="1">
      <w:start w:val="1"/>
      <w:numFmt w:val="lowerLetter"/>
      <w:lvlText w:val="%5."/>
      <w:lvlJc w:val="left"/>
      <w:pPr>
        <w:ind w:left="4876" w:hanging="360"/>
      </w:pPr>
    </w:lvl>
    <w:lvl w:ilvl="5" w:tplc="0409001B" w:tentative="1">
      <w:start w:val="1"/>
      <w:numFmt w:val="lowerRoman"/>
      <w:lvlText w:val="%6."/>
      <w:lvlJc w:val="right"/>
      <w:pPr>
        <w:ind w:left="5596" w:hanging="180"/>
      </w:pPr>
    </w:lvl>
    <w:lvl w:ilvl="6" w:tplc="0409000F" w:tentative="1">
      <w:start w:val="1"/>
      <w:numFmt w:val="decimal"/>
      <w:lvlText w:val="%7."/>
      <w:lvlJc w:val="left"/>
      <w:pPr>
        <w:ind w:left="6316" w:hanging="360"/>
      </w:pPr>
    </w:lvl>
    <w:lvl w:ilvl="7" w:tplc="04090019" w:tentative="1">
      <w:start w:val="1"/>
      <w:numFmt w:val="lowerLetter"/>
      <w:lvlText w:val="%8."/>
      <w:lvlJc w:val="left"/>
      <w:pPr>
        <w:ind w:left="7036" w:hanging="360"/>
      </w:pPr>
    </w:lvl>
    <w:lvl w:ilvl="8" w:tplc="0409001B" w:tentative="1">
      <w:start w:val="1"/>
      <w:numFmt w:val="lowerRoman"/>
      <w:lvlText w:val="%9."/>
      <w:lvlJc w:val="right"/>
      <w:pPr>
        <w:ind w:left="7756" w:hanging="180"/>
      </w:pPr>
    </w:lvl>
  </w:abstractNum>
  <w:abstractNum w:abstractNumId="2" w15:restartNumberingAfterBreak="0">
    <w:nsid w:val="316237B3"/>
    <w:multiLevelType w:val="hybridMultilevel"/>
    <w:tmpl w:val="E844FE7E"/>
    <w:lvl w:ilvl="0" w:tplc="E06E9096">
      <w:start w:val="1"/>
      <w:numFmt w:val="decimal"/>
      <w:pStyle w:val="NumberedParagraph"/>
      <w:lvlText w:val="%1."/>
      <w:lvlJc w:val="left"/>
      <w:pPr>
        <w:ind w:left="450" w:hanging="360"/>
      </w:pPr>
      <w:rPr>
        <w:b/>
        <w:i w:val="0"/>
        <w:strike w:val="0"/>
        <w:dstrike w:val="0"/>
        <w:color w:val="auto"/>
        <w:u w:val="none"/>
        <w:effect w:val="none"/>
      </w:rPr>
    </w:lvl>
    <w:lvl w:ilvl="1" w:tplc="24CABE2A">
      <w:start w:val="1"/>
      <w:numFmt w:val="lowerRoman"/>
      <w:lvlText w:val="(%2)"/>
      <w:lvlJc w:val="left"/>
      <w:pPr>
        <w:ind w:left="1080" w:hanging="360"/>
      </w:pPr>
      <w:rPr>
        <w:rFonts w:ascii="Times New Roman" w:eastAsia="Times New Roman" w:hAnsi="Times New Roman" w:cs="Times New Roman"/>
      </w:rPr>
    </w:lvl>
    <w:lvl w:ilvl="2" w:tplc="1C09001B">
      <w:start w:val="1"/>
      <w:numFmt w:val="lowerRoman"/>
      <w:lvlText w:val="%3."/>
      <w:lvlJc w:val="right"/>
      <w:pPr>
        <w:ind w:left="1800" w:hanging="180"/>
      </w:pPr>
    </w:lvl>
    <w:lvl w:ilvl="3" w:tplc="16CE57B4">
      <w:start w:val="1"/>
      <w:numFmt w:val="decimal"/>
      <w:lvlText w:val="(%4)"/>
      <w:lvlJc w:val="left"/>
      <w:pPr>
        <w:ind w:left="2520" w:hanging="360"/>
      </w:pPr>
    </w:lvl>
    <w:lvl w:ilvl="4" w:tplc="1C090019">
      <w:start w:val="1"/>
      <w:numFmt w:val="lowerLetter"/>
      <w:lvlText w:val="%5."/>
      <w:lvlJc w:val="left"/>
      <w:pPr>
        <w:ind w:left="3240" w:hanging="360"/>
      </w:pPr>
    </w:lvl>
    <w:lvl w:ilvl="5" w:tplc="1C09001B">
      <w:start w:val="1"/>
      <w:numFmt w:val="lowerRoman"/>
      <w:lvlText w:val="%6."/>
      <w:lvlJc w:val="right"/>
      <w:pPr>
        <w:ind w:left="3960" w:hanging="180"/>
      </w:pPr>
    </w:lvl>
    <w:lvl w:ilvl="6" w:tplc="1C09000F">
      <w:start w:val="1"/>
      <w:numFmt w:val="decimal"/>
      <w:lvlText w:val="%7."/>
      <w:lvlJc w:val="left"/>
      <w:pPr>
        <w:ind w:left="4680" w:hanging="360"/>
      </w:pPr>
    </w:lvl>
    <w:lvl w:ilvl="7" w:tplc="1C090019">
      <w:start w:val="1"/>
      <w:numFmt w:val="lowerLetter"/>
      <w:lvlText w:val="%8."/>
      <w:lvlJc w:val="left"/>
      <w:pPr>
        <w:ind w:left="5400" w:hanging="360"/>
      </w:pPr>
    </w:lvl>
    <w:lvl w:ilvl="8" w:tplc="1C09001B">
      <w:start w:val="1"/>
      <w:numFmt w:val="lowerRoman"/>
      <w:lvlText w:val="%9."/>
      <w:lvlJc w:val="right"/>
      <w:pPr>
        <w:ind w:left="6120" w:hanging="180"/>
      </w:pPr>
    </w:lvl>
  </w:abstractNum>
  <w:abstractNum w:abstractNumId="3" w15:restartNumberingAfterBreak="0">
    <w:nsid w:val="39301E20"/>
    <w:multiLevelType w:val="multilevel"/>
    <w:tmpl w:val="C15A1802"/>
    <w:lvl w:ilvl="0">
      <w:start w:val="12"/>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4F467CB6"/>
    <w:multiLevelType w:val="hybridMultilevel"/>
    <w:tmpl w:val="E6BA0950"/>
    <w:lvl w:ilvl="0" w:tplc="9D26272C">
      <w:start w:val="1"/>
      <w:numFmt w:val="bullet"/>
      <w:pStyle w:val="ListParagraph"/>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5" w15:restartNumberingAfterBreak="0">
    <w:nsid w:val="55A56F16"/>
    <w:multiLevelType w:val="hybridMultilevel"/>
    <w:tmpl w:val="00E84126"/>
    <w:lvl w:ilvl="0" w:tplc="0C090017">
      <w:start w:val="1"/>
      <w:numFmt w:val="lowerLetter"/>
      <w:lvlText w:val="%1)"/>
      <w:lvlJc w:val="left"/>
      <w:pPr>
        <w:ind w:left="907" w:hanging="340"/>
      </w:pPr>
      <w:rPr>
        <w:rFonts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5"/>
  </w:num>
  <w:num w:numId="4">
    <w:abstractNumId w:val="0"/>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7D54"/>
    <w:rsid w:val="001E6ADE"/>
    <w:rsid w:val="00312E45"/>
    <w:rsid w:val="00666F17"/>
    <w:rsid w:val="00985617"/>
    <w:rsid w:val="00BF258F"/>
    <w:rsid w:val="00CA7D36"/>
    <w:rsid w:val="00D17D54"/>
    <w:rsid w:val="00F7038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AD9AB54-85E9-4F4C-8C5B-F05558D900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A7D36"/>
    <w:pPr>
      <w:spacing w:after="200" w:line="276" w:lineRule="auto"/>
    </w:pPr>
    <w:rPr>
      <w:rFonts w:ascii="Calibri" w:eastAsia="SimSun" w:hAnsi="Calibri" w:cs="Times New Roman"/>
      <w:lang w:eastAsia="en-US"/>
    </w:rPr>
  </w:style>
  <w:style w:type="paragraph" w:styleId="Heading2">
    <w:name w:val="heading 2"/>
    <w:basedOn w:val="Normal"/>
    <w:next w:val="Normal"/>
    <w:link w:val="Heading2Char"/>
    <w:qFormat/>
    <w:rsid w:val="00CA7D36"/>
    <w:pPr>
      <w:keepNext/>
      <w:spacing w:after="0" w:line="240" w:lineRule="auto"/>
      <w:outlineLvl w:val="1"/>
    </w:pPr>
    <w:rPr>
      <w:rFonts w:ascii="Times New Roman" w:eastAsia="Times New Roman" w:hAnsi="Times New Roman"/>
      <w:i/>
      <w:iCs/>
      <w:sz w:val="24"/>
      <w:szCs w:val="24"/>
      <w:lang w:val="x-none" w:eastAsia="x-none"/>
    </w:rPr>
  </w:style>
  <w:style w:type="paragraph" w:styleId="Heading3">
    <w:name w:val="heading 3"/>
    <w:basedOn w:val="Normal"/>
    <w:next w:val="Normal"/>
    <w:link w:val="Heading3Char"/>
    <w:qFormat/>
    <w:rsid w:val="00CA7D36"/>
    <w:pPr>
      <w:keepNext/>
      <w:spacing w:after="0" w:line="240" w:lineRule="auto"/>
      <w:outlineLvl w:val="2"/>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A7D36"/>
    <w:pPr>
      <w:tabs>
        <w:tab w:val="center" w:pos="4680"/>
        <w:tab w:val="right" w:pos="9360"/>
      </w:tabs>
      <w:spacing w:after="0" w:line="240" w:lineRule="auto"/>
    </w:pPr>
  </w:style>
  <w:style w:type="character" w:customStyle="1" w:styleId="HeaderChar">
    <w:name w:val="Header Char"/>
    <w:basedOn w:val="DefaultParagraphFont"/>
    <w:link w:val="Header"/>
    <w:uiPriority w:val="99"/>
    <w:rsid w:val="00CA7D36"/>
  </w:style>
  <w:style w:type="paragraph" w:styleId="Footer">
    <w:name w:val="footer"/>
    <w:basedOn w:val="Normal"/>
    <w:link w:val="FooterChar"/>
    <w:uiPriority w:val="99"/>
    <w:unhideWhenUsed/>
    <w:rsid w:val="00CA7D36"/>
    <w:pPr>
      <w:tabs>
        <w:tab w:val="center" w:pos="4680"/>
        <w:tab w:val="right" w:pos="9360"/>
      </w:tabs>
      <w:spacing w:after="0" w:line="240" w:lineRule="auto"/>
    </w:pPr>
  </w:style>
  <w:style w:type="character" w:customStyle="1" w:styleId="FooterChar">
    <w:name w:val="Footer Char"/>
    <w:basedOn w:val="DefaultParagraphFont"/>
    <w:link w:val="Footer"/>
    <w:uiPriority w:val="99"/>
    <w:rsid w:val="00CA7D36"/>
  </w:style>
  <w:style w:type="character" w:customStyle="1" w:styleId="Heading2Char">
    <w:name w:val="Heading 2 Char"/>
    <w:basedOn w:val="DefaultParagraphFont"/>
    <w:link w:val="Heading2"/>
    <w:rsid w:val="00CA7D36"/>
    <w:rPr>
      <w:rFonts w:ascii="Times New Roman" w:eastAsia="Times New Roman" w:hAnsi="Times New Roman" w:cs="Times New Roman"/>
      <w:i/>
      <w:iCs/>
      <w:sz w:val="24"/>
      <w:szCs w:val="24"/>
      <w:lang w:val="x-none" w:eastAsia="x-none"/>
    </w:rPr>
  </w:style>
  <w:style w:type="character" w:customStyle="1" w:styleId="Heading3Char">
    <w:name w:val="Heading 3 Char"/>
    <w:basedOn w:val="DefaultParagraphFont"/>
    <w:link w:val="Heading3"/>
    <w:rsid w:val="00CA7D36"/>
    <w:rPr>
      <w:rFonts w:ascii="Times New Roman" w:eastAsia="Times New Roman" w:hAnsi="Times New Roman" w:cs="Times New Roman"/>
      <w:b/>
      <w:bCs/>
      <w:sz w:val="24"/>
      <w:szCs w:val="24"/>
      <w:lang w:val="x-none" w:eastAsia="x-none"/>
    </w:rPr>
  </w:style>
  <w:style w:type="paragraph" w:styleId="ListParagraph">
    <w:name w:val="List Paragraph"/>
    <w:aliases w:val="Titulo 4,TCI Cursive,Bullets,Paragraphe de liste1,ADB paragraph numbering,List Paragraph1,List Paragraph11,Para,Project Profile name,List Paragraph (numbered (a)),Lapis Bulleted List,References,Dot pt,F5 List Paragraph,No Spacing1,bu,B,b1"/>
    <w:basedOn w:val="Normal"/>
    <w:link w:val="ListParagraphChar"/>
    <w:autoRedefine/>
    <w:uiPriority w:val="34"/>
    <w:qFormat/>
    <w:rsid w:val="00CA7D36"/>
    <w:pPr>
      <w:numPr>
        <w:numId w:val="5"/>
      </w:numPr>
      <w:suppressAutoHyphens/>
      <w:spacing w:after="240" w:line="240" w:lineRule="auto"/>
      <w:contextualSpacing/>
      <w:jc w:val="both"/>
      <w:textAlignment w:val="baseline"/>
    </w:pPr>
    <w:rPr>
      <w:rFonts w:ascii="Times New Roman" w:eastAsia="Times New Roman" w:hAnsi="Times New Roman"/>
      <w:szCs w:val="18"/>
      <w:lang w:val="en-GB"/>
    </w:rPr>
  </w:style>
  <w:style w:type="character" w:customStyle="1" w:styleId="NumberedParagraphChar">
    <w:name w:val="Numbered Paragraph Char"/>
    <w:link w:val="NumberedParagraph"/>
    <w:locked/>
    <w:rsid w:val="00CA7D36"/>
    <w:rPr>
      <w:rFonts w:ascii="Times New Roman" w:eastAsia="Times New Roman" w:hAnsi="Times New Roman"/>
      <w:sz w:val="21"/>
      <w:lang w:eastAsia="en-US"/>
    </w:rPr>
  </w:style>
  <w:style w:type="paragraph" w:customStyle="1" w:styleId="NumberedParagraph">
    <w:name w:val="Numbered Paragraph"/>
    <w:basedOn w:val="Normal"/>
    <w:link w:val="NumberedParagraphChar"/>
    <w:qFormat/>
    <w:rsid w:val="00CA7D36"/>
    <w:pPr>
      <w:numPr>
        <w:numId w:val="1"/>
      </w:numPr>
      <w:spacing w:after="0" w:line="240" w:lineRule="auto"/>
      <w:ind w:left="360"/>
      <w:jc w:val="both"/>
    </w:pPr>
    <w:rPr>
      <w:rFonts w:ascii="Times New Roman" w:eastAsia="Times New Roman" w:hAnsi="Times New Roman" w:cstheme="minorBidi"/>
      <w:sz w:val="21"/>
    </w:rPr>
  </w:style>
  <w:style w:type="character" w:customStyle="1" w:styleId="ListParagraphChar">
    <w:name w:val="List Paragraph Char"/>
    <w:aliases w:val="Titulo 4 Char,TCI Cursive Char,Bullets Char,Paragraphe de liste1 Char,ADB paragraph numbering Char,List Paragraph1 Char,List Paragraph11 Char,Para Char,Project Profile name Char,List Paragraph (numbered (a)) Char,References Char"/>
    <w:link w:val="ListParagraph"/>
    <w:uiPriority w:val="34"/>
    <w:qFormat/>
    <w:locked/>
    <w:rsid w:val="00CA7D36"/>
    <w:rPr>
      <w:rFonts w:ascii="Times New Roman" w:eastAsia="Times New Roman" w:hAnsi="Times New Roman" w:cs="Times New Roman"/>
      <w:szCs w:val="18"/>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1.emf"/><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GEFCountry xmlns="ceb00776-aa5c-4fc8-b6fe-5f035152e4b6">Bangladesh</GEFCountry>
    <Classification xmlns="ceb00776-aa5c-4fc8-b6fe-5f035152e4b6">Public</Classification>
    <Country1 xmlns="ceb00776-aa5c-4fc8-b6fe-5f035152e4b6" xsi:nil="true"/>
    <DocPrefix xmlns="ceb00776-aa5c-4fc8-b6fe-5f035152e4b6">Others</DocPrefix>
    <GEFID xmlns="ceb00776-aa5c-4fc8-b6fe-5f035152e4b6">9986</GEFID>
    <ProjectType xmlns="ceb00776-aa5c-4fc8-b6fe-5f035152e4b6">MSP</ProjectType>
    <GEFProjectID xmlns="ceb00776-aa5c-4fc8-b6fe-5f035152e4b6">2aed5976-df7c-e811-8124-3863bb2e1360</GEFProjectID>
    <DocActive xmlns="ceb00776-aa5c-4fc8-b6fe-5f035152e4b6">No</DocActive>
    <DocCategory xmlns="ceb00776-aa5c-4fc8-b6fe-5f035152e4b6">Project Supporting Document</DocCategory>
    <FocalArea xmlns="ceb00776-aa5c-4fc8-b6fe-5f035152e4b6">Climate Change</FocalArea>
    <DocType xmlns="ceb00776-aa5c-4fc8-b6fe-5f035152e4b6">CEO Endorsement Project Justification</DocType>
    <ProjectTitle xmlns="ceb00776-aa5c-4fc8-b6fe-5f035152e4b6">Strengthening Capacity for Monitoring Environmental Emissions under the Paris Agreement in Bangladesh</ProjectTitle>
    <TrustFundType xmlns="ceb00776-aa5c-4fc8-b6fe-5f035152e4b6">CBIT</TrustFundType>
    <TaxCatchAll xmlns="3e02667f-0271-471b-bd6e-11a2e16def1d"/>
    <DocumentTitle xmlns="ceb00776-aa5c-4fc8-b6fe-5f035152e4b6">Appendix 12  Project Governance and Institutional arrangement_May28</DocumentTitl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901B278-457A-4FFC-BEC1-DD9AE8E163E8}">
  <ds:schemaRefs>
    <ds:schemaRef ds:uri="http://schemas.microsoft.com/office/2006/metadata/properties"/>
    <ds:schemaRef ds:uri="http://schemas.microsoft.com/office/infopath/2007/PartnerControls"/>
    <ds:schemaRef ds:uri="ceb00776-aa5c-4fc8-b6fe-5f035152e4b6"/>
    <ds:schemaRef ds:uri="3e02667f-0271-471b-bd6e-11a2e16def1d"/>
  </ds:schemaRefs>
</ds:datastoreItem>
</file>

<file path=customXml/itemProps2.xml><?xml version="1.0" encoding="utf-8"?>
<ds:datastoreItem xmlns:ds="http://schemas.openxmlformats.org/officeDocument/2006/customXml" ds:itemID="{CEF91368-5126-4653-B9F1-E6BA5D429ABD}">
  <ds:schemaRefs>
    <ds:schemaRef ds:uri="http://schemas.microsoft.com/sharepoint/v3/contenttype/forms"/>
  </ds:schemaRefs>
</ds:datastoreItem>
</file>

<file path=customXml/itemProps3.xml><?xml version="1.0" encoding="utf-8"?>
<ds:datastoreItem xmlns:ds="http://schemas.openxmlformats.org/officeDocument/2006/customXml" ds:itemID="{B6340C95-77D1-4FBE-AE62-68E0F1EC1BFB}"/>
</file>

<file path=docProps/app.xml><?xml version="1.0" encoding="utf-8"?>
<Properties xmlns="http://schemas.openxmlformats.org/officeDocument/2006/extended-properties" xmlns:vt="http://schemas.openxmlformats.org/officeDocument/2006/docPropsVTypes">
  <Template>Normal.dotm</Template>
  <TotalTime>2</TotalTime>
  <Pages>5</Pages>
  <Words>1724</Words>
  <Characters>9833</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
    </vt:vector>
  </TitlesOfParts>
  <Company>FAO of the UN</Company>
  <LinksUpToDate>false</LinksUpToDate>
  <CharactersWithSpaces>11534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Naito, Yurie (TCI)</dc:creator>
  <cp:keywords/>
  <dc:description/>
  <cp:lastModifiedBy>Griffin, Jeffrey (CBC)</cp:lastModifiedBy>
  <cp:revision>2</cp:revision>
  <dcterms:created xsi:type="dcterms:W3CDTF">2019-05-28T14:42:00Z</dcterms:created>
  <dcterms:modified xsi:type="dcterms:W3CDTF">2019-05-28T14:42:00Z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